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header3.xml" ContentType="application/vnd.openxmlformats-officedocument.wordprocessingml.header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724"/>
      </w:pPr>
      <w:r>
        <w:rPr>
          <w:rFonts w:eastAsia="Calibri"/>
          <w:sz w:val="20"/>
        </w:rPr>
      </w:r>
      <w:r>
        <w:rPr>
          <w:rFonts w:eastAsia="Calibri"/>
          <w:sz w:val="2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6100" cy="655320"/>
                <wp:effectExtent l="0" t="0" r="0" b="0"/>
                <wp:docPr id="1" name="_x0000_i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46100" cy="655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3.00pt;height:51.60pt;mso-wrap-distance-left:0.00pt;mso-wrap-distance-top:0.00pt;mso-wrap-distance-right:0.00pt;mso-wrap-distance-bottom:0.00pt;" stroked="f">
                <v:path textboxrect="0,0,0,0"/>
                <v:imagedata r:id="rId14" o:title=""/>
              </v:shape>
            </w:pict>
          </mc:Fallback>
        </mc:AlternateContent>
      </w:r>
      <w:r/>
    </w:p>
    <w:p>
      <w:pPr>
        <w:pStyle w:val="724"/>
      </w:pPr>
      <w:r/>
      <w:r/>
    </w:p>
    <w:p>
      <w:pPr>
        <w:pStyle w:val="724"/>
      </w:pPr>
      <w:r>
        <w:rPr>
          <w:bCs/>
          <w:szCs w:val="28"/>
        </w:rPr>
        <w:t xml:space="preserve">ДЕПАРТАМЕНТ ИМУЩЕСТВА И ЗЕМЕЛЬНЫХ ОТНОШЕНИЙ</w:t>
      </w:r>
      <w:r/>
    </w:p>
    <w:p>
      <w:pPr>
        <w:pStyle w:val="725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</w:t>
      </w:r>
      <w:r>
        <w:rPr>
          <w:sz w:val="28"/>
          <w:szCs w:val="28"/>
        </w:rPr>
      </w:r>
    </w:p>
    <w:p>
      <w:pPr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24"/>
        <w:rPr>
          <w:bCs/>
          <w:szCs w:val="28"/>
        </w:rPr>
      </w:pPr>
      <w:r>
        <w:rPr>
          <w:bCs/>
          <w:szCs w:val="28"/>
        </w:rPr>
        <w:t xml:space="preserve">ПОЯСНИТЕЛЬНАЯ ЗАПИСКА </w:t>
      </w:r>
      <w:r>
        <w:rPr>
          <w:bCs/>
          <w:szCs w:val="28"/>
        </w:rPr>
      </w:r>
    </w:p>
    <w:p>
      <w:pPr>
        <w:jc w:val="center"/>
        <w:tabs>
          <w:tab w:val="left" w:pos="6804" w:leader="none"/>
        </w:tabs>
      </w:pPr>
      <w:r>
        <w:rPr>
          <w:b/>
          <w:sz w:val="28"/>
          <w:szCs w:val="28"/>
        </w:rPr>
        <w:t xml:space="preserve">к проекту закона Новосибирской области «</w:t>
      </w:r>
      <w:r>
        <w:rPr>
          <w:b/>
          <w:bCs/>
          <w:sz w:val="28"/>
          <w:szCs w:val="28"/>
        </w:rPr>
        <w:t xml:space="preserve">О переводе земельн</w:t>
      </w:r>
      <w:r>
        <w:rPr>
          <w:b/>
          <w:bCs/>
          <w:sz w:val="28"/>
          <w:szCs w:val="28"/>
        </w:rPr>
        <w:t xml:space="preserve">ых</w:t>
      </w:r>
      <w:r>
        <w:rPr>
          <w:b/>
          <w:bCs/>
          <w:sz w:val="28"/>
          <w:szCs w:val="28"/>
        </w:rPr>
        <w:t xml:space="preserve"> участк</w:t>
      </w:r>
      <w:r>
        <w:rPr>
          <w:b/>
          <w:bCs/>
          <w:sz w:val="28"/>
          <w:szCs w:val="28"/>
        </w:rPr>
        <w:t xml:space="preserve">ов</w:t>
      </w:r>
      <w:r>
        <w:rPr>
          <w:b/>
          <w:bCs/>
          <w:sz w:val="28"/>
          <w:szCs w:val="28"/>
        </w:rPr>
        <w:t xml:space="preserve"> с кадастровыми номерами 54:04:000000:963, 54:04:020405:1570 из состава земель одной категории в другую</w:t>
      </w:r>
      <w:r>
        <w:rPr>
          <w:b/>
          <w:sz w:val="28"/>
          <w:szCs w:val="28"/>
        </w:rPr>
        <w:t xml:space="preserve">»</w:t>
      </w:r>
      <w:r/>
    </w:p>
    <w:p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Фе</w:t>
      </w:r>
      <w:r>
        <w:rPr>
          <w:sz w:val="28"/>
          <w:szCs w:val="28"/>
        </w:rPr>
        <w:t xml:space="preserve">деральным законом от 21.12.2004 № 172-ФЗ «О переводе земель или земельных участков из одной категории в другую» (далее – Закон № 172-ФЗ) департаментом имущества и земельных отношений Новосибирской области рассмотрены ходатайство администрации Венгеровского</w:t>
      </w:r>
      <w:r>
        <w:rPr>
          <w:sz w:val="28"/>
          <w:szCs w:val="28"/>
        </w:rPr>
        <w:t xml:space="preserve"> муниципального округа Новосибирской области и пакет документов о переводе из категории земель сельскохозяйственного назначения в категорию земель промышленности, энергетики, транспорта, связи, радиовещания, телевидения, информатики, земель для обеспечения</w:t>
      </w:r>
      <w:r>
        <w:rPr>
          <w:sz w:val="28"/>
          <w:szCs w:val="28"/>
        </w:rPr>
        <w:t xml:space="preserve"> космической деятельности, земель обороны, безопасности и земель иного специального назначения земельных участков с кадастровыми номерами:</w:t>
      </w:r>
      <w:r>
        <w:rPr>
          <w:sz w:val="28"/>
          <w:szCs w:val="28"/>
        </w:rPr>
      </w:r>
    </w:p>
    <w:p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54:04:000000:963, площадью 15826 кв. м, местоположение: Новосибирская область, Венгеровский район;</w:t>
      </w:r>
      <w:r>
        <w:rPr>
          <w:sz w:val="28"/>
          <w:szCs w:val="28"/>
        </w:rPr>
      </w:r>
    </w:p>
    <w:p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54:04:020405:1570, площадью 6901 кв. м, местоположение: Новосибирская область, Венгеровский район</w:t>
      </w:r>
      <w:r>
        <w:rPr>
          <w:sz w:val="28"/>
          <w:szCs w:val="28"/>
        </w:rPr>
      </w:r>
    </w:p>
    <w:p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гидротехнического сооружения.</w:t>
      </w:r>
      <w:r>
        <w:rPr>
          <w:sz w:val="28"/>
          <w:szCs w:val="28"/>
        </w:rPr>
      </w:r>
    </w:p>
    <w:p>
      <w:pPr>
        <w:pStyle w:val="925"/>
        <w:ind w:firstLine="709"/>
        <w:jc w:val="both"/>
        <w:spacing w:before="6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Согласно информации, содержащейся в ходатайстве администрации Венгеровского муниципального округа Новосибирской области, между администрацией Венгеровского сельсовета Венгеровского района Новосибирской области и обществом с ограниченной ответственность</w:t>
      </w:r>
      <w:r>
        <w:rPr>
          <w:color w:val="000000" w:themeColor="text1"/>
          <w:sz w:val="28"/>
          <w:szCs w:val="28"/>
        </w:rPr>
        <w:t xml:space="preserve">ю «Специальное проектное и конструкторско-технологическое бюро «Ленгидросталь» заключен муниципальный контракт от 29.07.2024 № 0851200000624004833 по разработке проектной и рабочей документации </w:t>
      </w:r>
      <w:r>
        <w:rPr>
          <w:color w:val="000000" w:themeColor="text1"/>
          <w:sz w:val="28"/>
          <w:szCs w:val="28"/>
        </w:rPr>
        <w:t xml:space="preserve">на капитальный ремонт гидротехнических сооружений на реке Тар</w:t>
      </w:r>
      <w:r>
        <w:rPr>
          <w:color w:val="000000" w:themeColor="text1"/>
          <w:sz w:val="28"/>
          <w:szCs w:val="28"/>
        </w:rPr>
        <w:t xml:space="preserve">т</w:t>
      </w:r>
      <w:r>
        <w:rPr>
          <w:color w:val="000000" w:themeColor="text1"/>
          <w:sz w:val="28"/>
          <w:szCs w:val="28"/>
        </w:rPr>
        <w:t xml:space="preserve">ас в с</w:t>
      </w:r>
      <w:r>
        <w:rPr>
          <w:color w:val="000000" w:themeColor="text1"/>
          <w:sz w:val="28"/>
          <w:szCs w:val="28"/>
        </w:rPr>
        <w:t xml:space="preserve">еле</w:t>
      </w:r>
      <w:r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Венгерово Венгеровского района Новосибирской области.</w:t>
      </w:r>
      <w:r>
        <w:rPr>
          <w:color w:val="000000" w:themeColor="text1"/>
          <w:sz w:val="28"/>
          <w:szCs w:val="28"/>
        </w:rPr>
      </w:r>
    </w:p>
    <w:p>
      <w:pPr>
        <w:pStyle w:val="925"/>
        <w:ind w:firstLine="709"/>
        <w:jc w:val="both"/>
        <w:spacing w:before="6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В процессе разработки проектной и рабочей документации</w:t>
      </w:r>
      <w:r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в целях проведения капитального ремонта гидротехнического сооружения, возникла необходимость расширения полосы отвода, в </w:t>
      </w:r>
      <w:r>
        <w:rPr>
          <w:color w:val="000000" w:themeColor="text1"/>
          <w:sz w:val="28"/>
          <w:szCs w:val="28"/>
        </w:rPr>
        <w:t xml:space="preserve">связи</w:t>
      </w:r>
      <w:r>
        <w:rPr>
          <w:color w:val="000000" w:themeColor="text1"/>
          <w:sz w:val="28"/>
          <w:szCs w:val="28"/>
        </w:rPr>
        <w:t xml:space="preserve"> с чем сформированы земельные участки с кадастровыми номерами 54:04:000000:963, 54:04:020405:1570.</w:t>
      </w:r>
      <w:r>
        <w:rPr>
          <w:color w:val="000000" w:themeColor="text1"/>
          <w:sz w:val="28"/>
          <w:szCs w:val="28"/>
        </w:rPr>
      </w:r>
    </w:p>
    <w:p>
      <w:pPr>
        <w:pStyle w:val="925"/>
        <w:ind w:firstLine="709"/>
        <w:jc w:val="both"/>
        <w:spacing w:before="6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Генеральным планом Венгеровского сельсовета Венгеровского района Новосибирской области и </w:t>
      </w:r>
      <w:r>
        <w:rPr>
          <w:color w:val="000000" w:themeColor="text1"/>
          <w:sz w:val="28"/>
          <w:szCs w:val="28"/>
        </w:rPr>
        <w:t xml:space="preserve">П</w:t>
      </w:r>
      <w:r>
        <w:rPr>
          <w:color w:val="000000" w:themeColor="text1"/>
          <w:sz w:val="28"/>
          <w:szCs w:val="28"/>
        </w:rPr>
        <w:t xml:space="preserve">равилами землепользования и застройки территории </w:t>
      </w:r>
      <w:r>
        <w:rPr>
          <w:color w:val="000000" w:themeColor="text1"/>
          <w:sz w:val="28"/>
          <w:szCs w:val="28"/>
        </w:rPr>
        <w:t xml:space="preserve">Венгеровского сельсовета Венгеровского района Новосибирской области, утвержденными решением Совета депутатов Венгеровского района Новосибирской области от 24.12.2021 № 120</w:t>
      </w:r>
      <w:r>
        <w:rPr>
          <w:color w:val="000000" w:themeColor="text1"/>
          <w:sz w:val="28"/>
          <w:szCs w:val="28"/>
        </w:rPr>
        <w:t xml:space="preserve">,</w:t>
      </w:r>
      <w:r>
        <w:rPr>
          <w:color w:val="000000" w:themeColor="text1"/>
          <w:sz w:val="28"/>
          <w:szCs w:val="28"/>
        </w:rPr>
        <w:t xml:space="preserve"> предусмотрено существующее местоположение гидротехнического сооружения.</w:t>
      </w:r>
      <w:r>
        <w:rPr>
          <w:color w:val="000000" w:themeColor="text1"/>
          <w:sz w:val="28"/>
          <w:szCs w:val="28"/>
        </w:rPr>
      </w:r>
    </w:p>
    <w:p>
      <w:pPr>
        <w:pStyle w:val="748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pacing w:val="-10"/>
          <w:sz w:val="28"/>
          <w:szCs w:val="28"/>
        </w:rPr>
        <w:t xml:space="preserve">В </w:t>
      </w:r>
      <w:r>
        <w:rPr>
          <w:color w:val="000000" w:themeColor="text1"/>
          <w:spacing w:val="-2"/>
          <w:sz w:val="28"/>
          <w:szCs w:val="28"/>
        </w:rPr>
        <w:t xml:space="preserve">соответствии </w:t>
      </w:r>
      <w:r>
        <w:rPr>
          <w:color w:val="000000" w:themeColor="text1"/>
          <w:spacing w:val="-10"/>
          <w:sz w:val="28"/>
          <w:szCs w:val="28"/>
        </w:rPr>
        <w:t xml:space="preserve">с </w:t>
      </w:r>
      <w:r>
        <w:rPr>
          <w:color w:val="000000" w:themeColor="text1"/>
          <w:spacing w:val="-10"/>
          <w:sz w:val="28"/>
          <w:szCs w:val="28"/>
        </w:rPr>
        <w:t xml:space="preserve">Г</w:t>
      </w:r>
      <w:r>
        <w:rPr>
          <w:color w:val="000000" w:themeColor="text1"/>
          <w:spacing w:val="-2"/>
          <w:sz w:val="28"/>
          <w:szCs w:val="28"/>
        </w:rPr>
        <w:t xml:space="preserve">енеральным</w:t>
      </w:r>
      <w:r>
        <w:rPr>
          <w:color w:val="000000" w:themeColor="text1"/>
          <w:spacing w:val="-2"/>
          <w:sz w:val="28"/>
          <w:szCs w:val="28"/>
        </w:rPr>
        <w:t xml:space="preserve"> планом Венгеровского </w:t>
      </w:r>
      <w:r>
        <w:rPr>
          <w:color w:val="000000" w:themeColor="text1"/>
          <w:sz w:val="28"/>
          <w:szCs w:val="28"/>
        </w:rPr>
        <w:t xml:space="preserve">сельсовета Венгеровского района Новосибирской области</w:t>
      </w:r>
      <w:r>
        <w:rPr>
          <w:color w:val="000000" w:themeColor="text1"/>
          <w:spacing w:val="-4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земельные</w:t>
      </w:r>
      <w:r>
        <w:rPr>
          <w:color w:val="000000" w:themeColor="text1"/>
          <w:spacing w:val="40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участки с кадастровыми номерами 54:04:000000:963, 54:04:020405:1570 расположены</w:t>
      </w:r>
      <w:r>
        <w:rPr>
          <w:color w:val="000000" w:themeColor="text1"/>
          <w:spacing w:val="40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в функциональной зоне – зона </w:t>
      </w:r>
      <w:r>
        <w:rPr>
          <w:color w:val="000000" w:themeColor="text1"/>
          <w:sz w:val="28"/>
          <w:szCs w:val="28"/>
        </w:rPr>
        <w:t xml:space="preserve">инженерной</w:t>
      </w:r>
      <w:r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инфраструктуры.</w:t>
      </w:r>
      <w:r>
        <w:rPr>
          <w:color w:val="000000" w:themeColor="text1"/>
          <w:sz w:val="28"/>
          <w:szCs w:val="28"/>
        </w:rPr>
      </w:r>
    </w:p>
    <w:p>
      <w:pPr>
        <w:pStyle w:val="748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Согласно сведениям из Единого государственного реестра недвижимости земельные участки с кадастровыми номерами 54:04:000000:963, 54:04:020405:1570 относятся к </w:t>
      </w:r>
      <w:r>
        <w:rPr>
          <w:sz w:val="28"/>
          <w:szCs w:val="28"/>
        </w:rPr>
        <w:t xml:space="preserve">участкам, </w:t>
      </w:r>
      <w:r>
        <w:rPr>
          <w:sz w:val="28"/>
          <w:szCs w:val="28"/>
        </w:rPr>
        <w:t xml:space="preserve">государственн</w:t>
      </w:r>
      <w:r>
        <w:rPr>
          <w:sz w:val="28"/>
          <w:szCs w:val="28"/>
        </w:rPr>
        <w:t xml:space="preserve">ая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собственност</w:t>
      </w:r>
      <w:r>
        <w:rPr>
          <w:sz w:val="28"/>
          <w:szCs w:val="28"/>
        </w:rPr>
        <w:t xml:space="preserve">ь на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которые не разграничена</w:t>
      </w:r>
      <w:r>
        <w:rPr>
          <w:sz w:val="28"/>
          <w:szCs w:val="28"/>
        </w:rPr>
        <w:t xml:space="preserve">.</w:t>
      </w:r>
      <w:r>
        <w:rPr>
          <w:sz w:val="28"/>
          <w:szCs w:val="28"/>
        </w:rPr>
      </w:r>
    </w:p>
    <w:p>
      <w:pPr>
        <w:pStyle w:val="748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</w:t>
      </w:r>
      <w:r>
        <w:rPr>
          <w:sz w:val="28"/>
          <w:szCs w:val="28"/>
        </w:rPr>
        <w:t xml:space="preserve">аспоряжени</w:t>
      </w:r>
      <w:r>
        <w:rPr>
          <w:sz w:val="28"/>
          <w:szCs w:val="28"/>
        </w:rPr>
        <w:t xml:space="preserve">е</w:t>
      </w:r>
      <w:r>
        <w:rPr>
          <w:sz w:val="28"/>
          <w:szCs w:val="28"/>
        </w:rPr>
        <w:t xml:space="preserve"> данным</w:t>
      </w:r>
      <w:r>
        <w:rPr>
          <w:sz w:val="28"/>
          <w:szCs w:val="28"/>
        </w:rPr>
        <w:t xml:space="preserve">и</w:t>
      </w:r>
      <w:r>
        <w:rPr>
          <w:sz w:val="28"/>
          <w:szCs w:val="28"/>
        </w:rPr>
        <w:t xml:space="preserve"> земельным</w:t>
      </w:r>
      <w:r>
        <w:rPr>
          <w:sz w:val="28"/>
          <w:szCs w:val="28"/>
        </w:rPr>
        <w:t xml:space="preserve">и</w:t>
      </w:r>
      <w:r>
        <w:rPr>
          <w:sz w:val="28"/>
          <w:szCs w:val="28"/>
        </w:rPr>
        <w:t xml:space="preserve"> участк</w:t>
      </w:r>
      <w:r>
        <w:rPr>
          <w:sz w:val="28"/>
          <w:szCs w:val="28"/>
        </w:rPr>
        <w:t xml:space="preserve">ами</w:t>
      </w:r>
      <w:r>
        <w:rPr>
          <w:sz w:val="28"/>
          <w:szCs w:val="28"/>
        </w:rPr>
        <w:t xml:space="preserve"> относ</w:t>
      </w:r>
      <w:r>
        <w:rPr>
          <w:sz w:val="28"/>
          <w:szCs w:val="28"/>
        </w:rPr>
        <w:t xml:space="preserve">и</w:t>
      </w:r>
      <w:r>
        <w:rPr>
          <w:sz w:val="28"/>
          <w:szCs w:val="28"/>
        </w:rPr>
        <w:t xml:space="preserve">тся к </w:t>
      </w:r>
      <w:r>
        <w:rPr>
          <w:sz w:val="28"/>
          <w:szCs w:val="28"/>
        </w:rPr>
        <w:t xml:space="preserve">полномочия</w:t>
      </w:r>
      <w:r>
        <w:rPr>
          <w:sz w:val="28"/>
          <w:szCs w:val="28"/>
        </w:rPr>
        <w:t xml:space="preserve">м </w:t>
      </w:r>
      <w:r>
        <w:rPr>
          <w:sz w:val="28"/>
          <w:szCs w:val="28"/>
        </w:rPr>
        <w:t xml:space="preserve">администрации Венгеровского муниципального округа Новосибирской области.</w:t>
      </w:r>
      <w:r>
        <w:rPr>
          <w:sz w:val="28"/>
          <w:szCs w:val="28"/>
        </w:rPr>
      </w:r>
    </w:p>
    <w:p>
      <w:pPr>
        <w:pStyle w:val="907"/>
        <w:ind w:firstLine="708"/>
        <w:jc w:val="both"/>
      </w:pPr>
      <w:r>
        <w:rPr>
          <w:spacing w:val="-2"/>
          <w:szCs w:val="28"/>
        </w:rPr>
        <w:t xml:space="preserve">Проект закона Новосибирской области «О переводе земельных участков с кадастровыми номерами 54:04:000000:963, 54:04:020405:1570</w:t>
      </w:r>
      <w:r>
        <w:rPr>
          <w:szCs w:val="28"/>
        </w:rPr>
        <w:t xml:space="preserve"> из состава земель одной категории в другую» подготов</w:t>
      </w:r>
      <w:r>
        <w:rPr>
          <w:szCs w:val="28"/>
        </w:rPr>
        <w:t xml:space="preserve">лен департаментом имущества и земельных отношений Новосибирской области в соответствии с требованиями пункта 4 части 1 статьи 7 Закона № 172-ФЗ, допускающими перевод земель сельскохозяйственных угодий или земельных участков в составе таких земель из земель</w:t>
      </w:r>
      <w:r>
        <w:rPr>
          <w:szCs w:val="28"/>
        </w:rPr>
        <w:t xml:space="preserve"> сельскохозяйственного назначения в земли </w:t>
      </w:r>
      <w:r>
        <w:rPr>
          <w:szCs w:val="28"/>
          <w:lang w:val="en-US" w:eastAsia="en-US"/>
        </w:rPr>
        <w:t xml:space="preserve">промышленности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энергетики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транспорта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связи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радиовещания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телевидения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информатики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зем</w:t>
      </w:r>
      <w:r>
        <w:rPr>
          <w:szCs w:val="28"/>
          <w:lang w:eastAsia="en-US"/>
        </w:rPr>
        <w:t xml:space="preserve">ель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для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обеспечения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космической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деятельности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зем</w:t>
      </w:r>
      <w:r>
        <w:rPr>
          <w:szCs w:val="28"/>
          <w:lang w:eastAsia="en-US"/>
        </w:rPr>
        <w:t xml:space="preserve">ель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обороны</w:t>
      </w:r>
      <w:r>
        <w:rPr>
          <w:szCs w:val="28"/>
          <w:lang w:val="en-US" w:eastAsia="en-US"/>
        </w:rPr>
        <w:t xml:space="preserve">, </w:t>
      </w:r>
      <w:r>
        <w:rPr>
          <w:szCs w:val="28"/>
          <w:lang w:val="en-US" w:eastAsia="en-US"/>
        </w:rPr>
        <w:t xml:space="preserve">безопасности</w:t>
      </w:r>
      <w:r>
        <w:rPr>
          <w:szCs w:val="28"/>
          <w:lang w:val="en-US" w:eastAsia="en-US"/>
        </w:rPr>
        <w:t xml:space="preserve"> и </w:t>
      </w:r>
      <w:r>
        <w:rPr>
          <w:szCs w:val="28"/>
          <w:lang w:val="en-US" w:eastAsia="en-US"/>
        </w:rPr>
        <w:t xml:space="preserve">зем</w:t>
      </w:r>
      <w:r>
        <w:rPr>
          <w:szCs w:val="28"/>
          <w:lang w:eastAsia="en-US"/>
        </w:rPr>
        <w:t xml:space="preserve">ель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иного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специального</w:t>
      </w:r>
      <w:r>
        <w:rPr>
          <w:szCs w:val="28"/>
          <w:lang w:val="en-US" w:eastAsia="en-US"/>
        </w:rPr>
        <w:t xml:space="preserve"> </w:t>
      </w:r>
      <w:r>
        <w:rPr>
          <w:szCs w:val="28"/>
          <w:lang w:val="en-US" w:eastAsia="en-US"/>
        </w:rPr>
        <w:t xml:space="preserve">назначения</w:t>
      </w:r>
      <w:r>
        <w:rPr>
          <w:szCs w:val="28"/>
        </w:rPr>
        <w:t xml:space="preserve">.</w:t>
      </w:r>
      <w:r/>
    </w:p>
    <w:p>
      <w:pPr>
        <w:ind w:firstLine="708"/>
        <w:jc w:val="both"/>
        <w:shd w:val="clear" w:color="auto" w:fill="ffffff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Содержащийся в выписках из Единого государственного реестра недвижимости вид разрешенного использования земельного участка с кадастровым номером 54:04:000000:963 «сельск</w:t>
      </w:r>
      <w:r>
        <w:rPr>
          <w:color w:val="000000"/>
          <w:sz w:val="28"/>
          <w:szCs w:val="28"/>
        </w:rPr>
        <w:t xml:space="preserve">охозяйственное использование», земельного участка с кадастровым номером 54:04:020405:1570 «ведение сельского хозяйства» позволяет определить код вида разрешенного использования данных земельных участков по приложению 1 к приказу Росреестра от 04.08.2021 № </w:t>
      </w:r>
      <w:r>
        <w:rPr>
          <w:color w:val="000000"/>
          <w:sz w:val="28"/>
          <w:szCs w:val="28"/>
        </w:rPr>
        <w:t xml:space="preserve">П</w:t>
      </w:r>
      <w:r>
        <w:rPr>
          <w:color w:val="000000"/>
          <w:sz w:val="28"/>
          <w:szCs w:val="28"/>
        </w:rPr>
        <w:t xml:space="preserve">/0336 «Об утверждении Методических указаний о государственной кадастровой оценке»: сегмент 1 «Сельскохозяйственное использование».</w:t>
      </w:r>
      <w:r>
        <w:rPr>
          <w:sz w:val="28"/>
          <w:szCs w:val="28"/>
        </w:rPr>
      </w:r>
    </w:p>
    <w:p>
      <w:pPr>
        <w:ind w:firstLine="709"/>
        <w:jc w:val="both"/>
        <w:shd w:val="clear" w:color="auto" w:fill="ffffff"/>
        <w:rPr>
          <w:spacing w:val="-1"/>
          <w:sz w:val="28"/>
          <w:szCs w:val="28"/>
        </w:rPr>
      </w:pPr>
      <w:r>
        <w:rPr>
          <w:sz w:val="28"/>
          <w:szCs w:val="28"/>
        </w:rPr>
        <w:t xml:space="preserve">К</w:t>
      </w:r>
      <w:r>
        <w:rPr>
          <w:spacing w:val="-2"/>
          <w:sz w:val="28"/>
          <w:szCs w:val="28"/>
        </w:rPr>
        <w:t xml:space="preserve">адастровая стоимость данных </w:t>
      </w:r>
      <w:r>
        <w:rPr>
          <w:sz w:val="28"/>
          <w:szCs w:val="28"/>
        </w:rPr>
        <w:t xml:space="preserve">земельных участков </w:t>
      </w:r>
      <w:r>
        <w:rPr>
          <w:spacing w:val="-1"/>
          <w:sz w:val="28"/>
          <w:szCs w:val="28"/>
        </w:rPr>
        <w:t xml:space="preserve">составляет:</w:t>
      </w:r>
      <w:r>
        <w:rPr>
          <w:spacing w:val="-1"/>
          <w:sz w:val="28"/>
          <w:szCs w:val="28"/>
        </w:rPr>
      </w:r>
    </w:p>
    <w:p>
      <w:pPr>
        <w:ind w:firstLine="709"/>
        <w:jc w:val="both"/>
        <w:shd w:val="clear" w:color="auto" w:fill="ffffff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</w:r>
      <w:r>
        <w:rPr>
          <w:spacing w:val="-1"/>
          <w:sz w:val="28"/>
          <w:szCs w:val="28"/>
        </w:rPr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3379"/>
        <w:gridCol w:w="3379"/>
        <w:gridCol w:w="3379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Кадастровый номер</w:t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Кадастровая стоимость, руб.</w:t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УПКС, руб./кв.м.</w:t>
            </w:r>
            <w:r>
              <w:rPr>
                <w:sz w:val="28"/>
                <w:szCs w:val="28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54:04:000000:963</w:t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24212,31</w:t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1,53</w:t>
            </w:r>
            <w:r>
              <w:rPr>
                <w:sz w:val="28"/>
                <w:szCs w:val="28"/>
              </w:rPr>
            </w:r>
          </w:p>
        </w:tc>
      </w:tr>
      <w:tr>
        <w:tblPrEx/>
        <w:trPr>
          <w:trHeight w:val="32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vMerge w:val="restart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54:04:020405:1570</w:t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vMerge w:val="restart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10557,89</w:t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vMerge w:val="restart"/>
            <w:textDirection w:val="lrTb"/>
            <w:noWrap w:val="false"/>
          </w:tcPr>
          <w:p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1,53</w:t>
            </w:r>
            <w:r>
              <w:rPr>
                <w:sz w:val="28"/>
                <w:szCs w:val="28"/>
              </w:rPr>
            </w:r>
          </w:p>
        </w:tc>
      </w:tr>
    </w:tbl>
    <w:p>
      <w:pPr>
        <w:ind w:firstLine="709"/>
        <w:jc w:val="both"/>
        <w:shd w:val="clear" w:color="auto" w:fill="ffffff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</w:r>
      <w:r>
        <w:rPr>
          <w:spacing w:val="-1"/>
          <w:sz w:val="28"/>
          <w:szCs w:val="28"/>
        </w:rPr>
      </w:r>
    </w:p>
    <w:p>
      <w:pPr>
        <w:ind w:firstLine="708"/>
        <w:jc w:val="both"/>
        <w:shd w:val="clear" w:color="auto" w:fill="ffffff"/>
        <w:rPr>
          <w:b/>
          <w:spacing w:val="-1"/>
          <w:sz w:val="28"/>
          <w:szCs w:val="28"/>
        </w:rPr>
      </w:pPr>
      <w:r>
        <w:rPr>
          <w:spacing w:val="-1"/>
          <w:sz w:val="28"/>
          <w:szCs w:val="28"/>
        </w:rPr>
        <w:t xml:space="preserve">Средний уровень кадастровой стоимости земель сельскохозяйственного назначения по Венгеровскому району Новосибирской области по сегменту 1 </w:t>
      </w:r>
      <w:r>
        <w:rPr>
          <w:spacing w:val="-1"/>
          <w:sz w:val="28"/>
          <w:szCs w:val="28"/>
        </w:rPr>
        <w:t xml:space="preserve">«Сельскохозяйственное использование», установленный приложением 2 к </w:t>
      </w:r>
      <w:r>
        <w:rPr>
          <w:sz w:val="28"/>
          <w:szCs w:val="28"/>
        </w:rPr>
        <w:t xml:space="preserve">приказу департамента имущества и земельных отношений Новосибирской области от 20.10.2022 №</w:t>
      </w:r>
      <w:r>
        <w:rPr>
          <w:sz w:val="28"/>
          <w:szCs w:val="28"/>
        </w:rPr>
        <w:t xml:space="preserve"> 3017 «Об утверждении результатов определения кадастровой стоимости земельных участков на территории Новосибирской области и среднего уровня кадастровой стоимости </w:t>
      </w:r>
      <w:r>
        <w:rPr>
          <w:sz w:val="28"/>
          <w:szCs w:val="28"/>
        </w:rPr>
        <w:t xml:space="preserve">земельных участков </w:t>
      </w:r>
      <w:r>
        <w:rPr>
          <w:sz w:val="28"/>
          <w:szCs w:val="28"/>
        </w:rPr>
        <w:t xml:space="preserve">по муниципальным районам, муниципальным округам </w:t>
      </w:r>
      <w:r>
        <w:rPr>
          <w:sz w:val="28"/>
          <w:szCs w:val="28"/>
        </w:rPr>
        <w:t xml:space="preserve">и городским округам Новосибирской области», </w:t>
      </w:r>
      <w:r>
        <w:rPr>
          <w:spacing w:val="-1"/>
          <w:sz w:val="28"/>
          <w:szCs w:val="28"/>
        </w:rPr>
        <w:t xml:space="preserve">составляет</w:t>
      </w:r>
      <w:r>
        <w:rPr>
          <w:b/>
          <w:bCs/>
          <w:spacing w:val="-1"/>
          <w:sz w:val="28"/>
          <w:szCs w:val="28"/>
        </w:rPr>
        <w:t xml:space="preserve"> 1,53 р</w:t>
      </w:r>
      <w:r>
        <w:rPr>
          <w:b/>
          <w:spacing w:val="-1"/>
          <w:sz w:val="28"/>
          <w:szCs w:val="28"/>
        </w:rPr>
        <w:t xml:space="preserve">уб/кв.м.</w:t>
      </w:r>
      <w:r>
        <w:rPr>
          <w:b/>
          <w:spacing w:val="-1"/>
          <w:sz w:val="28"/>
          <w:szCs w:val="28"/>
        </w:rPr>
      </w:r>
    </w:p>
    <w:p>
      <w:pPr>
        <w:ind w:left="26" w:right="22" w:firstLine="701"/>
        <w:jc w:val="both"/>
        <w:spacing w:line="320" w:lineRule="exact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На основании вышеизложенного</w:t>
      </w:r>
      <w:r>
        <w:rPr>
          <w:sz w:val="28"/>
          <w:szCs w:val="28"/>
        </w:rPr>
        <w:t xml:space="preserve"> кадастровая стоимость указанных земельных участков не превышает средний уровень кадастровой стоимости земельных участков по Венгеровскому району Новосибирской области. В соответствии со статьей 7 Закона № 172-ФЗ перевод данн</w:t>
      </w:r>
      <w:r>
        <w:rPr>
          <w:sz w:val="28"/>
          <w:szCs w:val="28"/>
        </w:rPr>
        <w:t xml:space="preserve">ых</w:t>
      </w:r>
      <w:r>
        <w:rPr>
          <w:sz w:val="28"/>
          <w:szCs w:val="28"/>
        </w:rPr>
        <w:t xml:space="preserve"> земельных участков допускается.</w:t>
      </w:r>
      <w:r>
        <w:rPr>
          <w:sz w:val="28"/>
          <w:szCs w:val="28"/>
        </w:rPr>
      </w:r>
    </w:p>
    <w:p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ходатайства и прилагаемого к нему пакета документов соответствует требованиям, установленным Законом № 172-ФЗ. Следовательно, оснований для отказа в переводе данных земельных участков не имеется.</w:t>
      </w:r>
      <w:r>
        <w:rPr>
          <w:sz w:val="28"/>
          <w:szCs w:val="28"/>
        </w:rPr>
      </w:r>
    </w:p>
    <w:p>
      <w:pPr>
        <w:ind w:right="-2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 закона не подлежит оценке регулирующего воздействия в связи с тем,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что</w:t>
      </w:r>
      <w:r>
        <w:rPr>
          <w:spacing w:val="-15"/>
          <w:sz w:val="28"/>
          <w:szCs w:val="28"/>
        </w:rPr>
        <w:t xml:space="preserve"> н</w:t>
      </w:r>
      <w:r>
        <w:rPr>
          <w:sz w:val="28"/>
          <w:szCs w:val="28"/>
        </w:rPr>
        <w:t xml:space="preserve">е содержит положений, устанавливающих</w:t>
      </w:r>
      <w:r>
        <w:rPr>
          <w:spacing w:val="-16"/>
          <w:sz w:val="28"/>
          <w:szCs w:val="28"/>
        </w:rPr>
        <w:t xml:space="preserve"> новы</w:t>
      </w:r>
      <w:r>
        <w:rPr>
          <w:sz w:val="28"/>
          <w:szCs w:val="28"/>
        </w:rPr>
        <w:t xml:space="preserve">е или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 xml:space="preserve">изменяющих ранее предусмотренные нормативными правовыми актами обязательные требования, связанные с осуществлением предпринимательской и иной экономической деятельности, оценка соблюдения которых осуществляется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в рамках г</w:t>
      </w:r>
      <w:r>
        <w:rPr>
          <w:sz w:val="28"/>
          <w:szCs w:val="28"/>
        </w:rPr>
        <w:t xml:space="preserve">o</w:t>
      </w:r>
      <w:r>
        <w:rPr>
          <w:sz w:val="28"/>
          <w:szCs w:val="28"/>
        </w:rPr>
        <w:t xml:space="preserve">сyдapcтвeнногo контроля (надзора), привлечения к административной ответственности, предоставления лицензий и иных разрешений, аккредитации,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оценки</w:t>
      </w:r>
      <w:r>
        <w:rPr>
          <w:spacing w:val="-17"/>
          <w:sz w:val="28"/>
          <w:szCs w:val="28"/>
        </w:rPr>
        <w:t xml:space="preserve"> </w:t>
      </w:r>
      <w:r>
        <w:rPr>
          <w:sz w:val="28"/>
          <w:szCs w:val="28"/>
        </w:rPr>
        <w:t xml:space="preserve">соответствия продукции, иных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форм</w:t>
      </w:r>
      <w:r>
        <w:rPr>
          <w:spacing w:val="-16"/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оценок</w:t>
      </w:r>
      <w:r>
        <w:rPr>
          <w:spacing w:val="-2"/>
          <w:sz w:val="28"/>
          <w:szCs w:val="28"/>
        </w:rPr>
        <w:t xml:space="preserve"> и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экспертиз,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 xml:space="preserve">устанавливающих новые или изменяющих ранее предусмотренные нормативными правовыми актами обязанности и зап</w:t>
      </w:r>
      <w:r>
        <w:rPr>
          <w:sz w:val="28"/>
          <w:szCs w:val="28"/>
        </w:rPr>
        <w:t xml:space="preserve">реты для субъектов предпринимательской и инвестиционной деятельности, а также устанавливающих или изменяющих ответственность за нарушение нормативных правовых актов, затрагивающих вопросы осуществления предпринимательской и иной экономической деятельности.</w:t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0"/>
        <w:rPr>
          <w:sz w:val="28"/>
          <w:szCs w:val="28"/>
        </w:rPr>
      </w:pPr>
      <w:r>
        <w:rPr>
          <w:sz w:val="28"/>
          <w:szCs w:val="28"/>
        </w:rPr>
        <w:t xml:space="preserve">Руководитель департамента                                                              Р.Г. Шилохвостов</w:t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sectPr>
      <w:headerReference w:type="default" r:id="rId9"/>
      <w:headerReference w:type="even" r:id="rId10"/>
      <w:headerReference w:type="first" r:id="rId11"/>
      <w:footerReference w:type="default" r:id="rId12"/>
      <w:footerReference w:type="first" r:id="rId13"/>
      <w:footnotePr/>
      <w:endnotePr/>
      <w:type w:val="nextPage"/>
      <w:pgSz w:w="11906" w:h="16838" w:orient="portrait"/>
      <w:pgMar w:top="567" w:right="567" w:bottom="1531" w:left="1418" w:header="709" w:footer="709" w:gutter="0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</w:font>
  <w:font w:name="Times New Roman">
    <w:panose1 w:val="02020603050405020304"/>
  </w:font>
  <w:font w:name="Courier New">
    <w:panose1 w:val="02070309020205020404"/>
  </w:font>
  <w:font w:name="Tahoma">
    <w:panose1 w:val="020B06040305040402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9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7"/>
      <w:jc w:val="center"/>
    </w:pPr>
    <w:fldSimple w:instr="PAGE \* MERGEFORMAT">
      <w:r>
        <w:t xml:space="preserve">1</w:t>
      </w:r>
    </w:fldSimple>
    <w:r/>
    <w:r/>
  </w:p>
  <w:p>
    <w:pPr>
      <w:pStyle w:val="757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09"/>
      <w:rPr>
        <w:rStyle w:val="911"/>
      </w:rPr>
      <w:framePr w:wrap="around" w:vAnchor="text" w:hAnchor="margin" w:xAlign="center" w:y="1"/>
    </w:pPr>
    <w:r>
      <w:rPr>
        <w:rStyle w:val="911"/>
      </w:rPr>
      <w:fldChar w:fldCharType="begin"/>
    </w:r>
    <w:r>
      <w:rPr>
        <w:rStyle w:val="911"/>
      </w:rPr>
      <w:instrText xml:space="preserve">PAGE  </w:instrText>
    </w:r>
    <w:r>
      <w:rPr>
        <w:rStyle w:val="911"/>
      </w:rPr>
      <w:fldChar w:fldCharType="separate"/>
    </w:r>
    <w:r>
      <w:rPr>
        <w:rStyle w:val="911"/>
      </w:rPr>
      <w:t xml:space="preserve">1</w:t>
    </w:r>
    <w:r>
      <w:rPr>
        <w:rStyle w:val="911"/>
      </w:rPr>
      <w:fldChar w:fldCharType="end"/>
    </w:r>
    <w:r>
      <w:rPr>
        <w:rStyle w:val="911"/>
      </w:rPr>
    </w:r>
  </w:p>
  <w:p>
    <w:pPr>
      <w:pStyle w:val="909"/>
      <w:ind w:right="360"/>
    </w:pPr>
    <w:r/>
    <w:r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7"/>
      <w:rPr>
        <w:sz w:val="20"/>
        <w:szCs w:val="20"/>
      </w:rPr>
    </w:pPr>
    <w:r>
      <w:rPr>
        <w:sz w:val="20"/>
        <w:szCs w:val="20"/>
      </w:rPr>
    </w:r>
    <w:r>
      <w:rPr>
        <w:sz w:val="20"/>
        <w:szCs w:val="20"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8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0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44" w:hanging="164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089" w:hanging="16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039" w:hanging="16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989" w:hanging="16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939" w:hanging="16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4889" w:hanging="16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839" w:hanging="16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6789" w:hanging="16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7739" w:hanging="164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tru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35">
    <w:name w:val="Title Char"/>
    <w:basedOn w:val="726"/>
    <w:link w:val="749"/>
    <w:uiPriority w:val="10"/>
    <w:rPr>
      <w:sz w:val="48"/>
      <w:szCs w:val="48"/>
    </w:rPr>
  </w:style>
  <w:style w:type="character" w:styleId="37">
    <w:name w:val="Subtitle Char"/>
    <w:basedOn w:val="726"/>
    <w:link w:val="751"/>
    <w:uiPriority w:val="11"/>
    <w:rPr>
      <w:sz w:val="24"/>
      <w:szCs w:val="24"/>
    </w:rPr>
  </w:style>
  <w:style w:type="character" w:styleId="39">
    <w:name w:val="Quote Char"/>
    <w:link w:val="753"/>
    <w:uiPriority w:val="29"/>
    <w:rPr>
      <w:i/>
    </w:rPr>
  </w:style>
  <w:style w:type="character" w:styleId="41">
    <w:name w:val="Intense Quote Char"/>
    <w:link w:val="755"/>
    <w:uiPriority w:val="30"/>
    <w:rPr>
      <w:i/>
    </w:rPr>
  </w:style>
  <w:style w:type="character" w:styleId="176">
    <w:name w:val="Footnote Text Char"/>
    <w:link w:val="890"/>
    <w:uiPriority w:val="99"/>
    <w:rPr>
      <w:sz w:val="18"/>
    </w:rPr>
  </w:style>
  <w:style w:type="character" w:styleId="179">
    <w:name w:val="Endnote Text Char"/>
    <w:link w:val="893"/>
    <w:uiPriority w:val="99"/>
    <w:rPr>
      <w:sz w:val="20"/>
    </w:rPr>
  </w:style>
  <w:style w:type="paragraph" w:styleId="723" w:default="1">
    <w:name w:val="Normal"/>
    <w:qFormat/>
    <w:rPr>
      <w:sz w:val="24"/>
      <w:szCs w:val="24"/>
    </w:rPr>
  </w:style>
  <w:style w:type="paragraph" w:styleId="724">
    <w:name w:val="Heading 1"/>
    <w:basedOn w:val="723"/>
    <w:next w:val="723"/>
    <w:link w:val="916"/>
    <w:qFormat/>
    <w:pPr>
      <w:jc w:val="center"/>
      <w:keepNext/>
      <w:outlineLvl w:val="0"/>
    </w:pPr>
    <w:rPr>
      <w:b/>
      <w:sz w:val="28"/>
      <w:szCs w:val="20"/>
    </w:rPr>
  </w:style>
  <w:style w:type="paragraph" w:styleId="725">
    <w:name w:val="Heading 2"/>
    <w:basedOn w:val="723"/>
    <w:next w:val="723"/>
    <w:link w:val="917"/>
    <w:qFormat/>
    <w:pPr>
      <w:jc w:val="center"/>
      <w:keepNext/>
      <w:outlineLvl w:val="1"/>
    </w:pPr>
    <w:rPr>
      <w:b/>
    </w:rPr>
  </w:style>
  <w:style w:type="character" w:styleId="726" w:default="1">
    <w:name w:val="Default Paragraph Font"/>
    <w:uiPriority w:val="1"/>
    <w:semiHidden/>
    <w:unhideWhenUsed/>
  </w:style>
  <w:style w:type="table" w:styleId="727" w:default="1">
    <w:name w:val="Normal Table"/>
    <w:uiPriority w:val="99"/>
    <w:semiHidden/>
    <w:unhideWhenUsed/>
    <w:qFormat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28" w:default="1">
    <w:name w:val="No List"/>
    <w:uiPriority w:val="99"/>
    <w:semiHidden/>
    <w:unhideWhenUsed/>
  </w:style>
  <w:style w:type="paragraph" w:styleId="729" w:customStyle="1">
    <w:name w:val="Heading 1"/>
    <w:basedOn w:val="723"/>
    <w:next w:val="723"/>
    <w:link w:val="730"/>
    <w:uiPriority w:val="9"/>
    <w:qFormat/>
    <w:pPr>
      <w:keepLines/>
      <w:keepNext/>
      <w:spacing w:before="480" w:after="200"/>
      <w:outlineLvl w:val="0"/>
    </w:pPr>
    <w:rPr>
      <w:rFonts w:ascii="Arial" w:hAnsi="Arial" w:eastAsia="Arial"/>
      <w:sz w:val="40"/>
      <w:szCs w:val="40"/>
    </w:rPr>
  </w:style>
  <w:style w:type="character" w:styleId="730" w:customStyle="1">
    <w:name w:val="Heading 1 Char"/>
    <w:link w:val="729"/>
    <w:uiPriority w:val="9"/>
    <w:rPr>
      <w:rFonts w:ascii="Arial" w:hAnsi="Arial" w:eastAsia="Arial" w:cs="Arial"/>
      <w:sz w:val="40"/>
      <w:szCs w:val="40"/>
    </w:rPr>
  </w:style>
  <w:style w:type="paragraph" w:styleId="731" w:customStyle="1">
    <w:name w:val="Heading 2"/>
    <w:basedOn w:val="723"/>
    <w:next w:val="723"/>
    <w:link w:val="732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/>
      <w:sz w:val="34"/>
      <w:szCs w:val="20"/>
    </w:rPr>
  </w:style>
  <w:style w:type="character" w:styleId="732" w:customStyle="1">
    <w:name w:val="Heading 2 Char"/>
    <w:link w:val="731"/>
    <w:uiPriority w:val="9"/>
    <w:rPr>
      <w:rFonts w:ascii="Arial" w:hAnsi="Arial" w:eastAsia="Arial" w:cs="Arial"/>
      <w:sz w:val="34"/>
    </w:rPr>
  </w:style>
  <w:style w:type="paragraph" w:styleId="733" w:customStyle="1">
    <w:name w:val="Heading 3"/>
    <w:basedOn w:val="723"/>
    <w:next w:val="723"/>
    <w:link w:val="734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/>
      <w:sz w:val="30"/>
      <w:szCs w:val="30"/>
    </w:rPr>
  </w:style>
  <w:style w:type="character" w:styleId="734" w:customStyle="1">
    <w:name w:val="Heading 3 Char"/>
    <w:link w:val="733"/>
    <w:uiPriority w:val="9"/>
    <w:rPr>
      <w:rFonts w:ascii="Arial" w:hAnsi="Arial" w:eastAsia="Arial" w:cs="Arial"/>
      <w:sz w:val="30"/>
      <w:szCs w:val="30"/>
    </w:rPr>
  </w:style>
  <w:style w:type="paragraph" w:styleId="735" w:customStyle="1">
    <w:name w:val="Heading 4"/>
    <w:basedOn w:val="723"/>
    <w:next w:val="723"/>
    <w:link w:val="736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/>
      <w:b/>
      <w:bCs/>
      <w:sz w:val="26"/>
      <w:szCs w:val="26"/>
    </w:rPr>
  </w:style>
  <w:style w:type="character" w:styleId="736" w:customStyle="1">
    <w:name w:val="Heading 4 Char"/>
    <w:link w:val="735"/>
    <w:uiPriority w:val="9"/>
    <w:rPr>
      <w:rFonts w:ascii="Arial" w:hAnsi="Arial" w:eastAsia="Arial" w:cs="Arial"/>
      <w:b/>
      <w:bCs/>
      <w:sz w:val="26"/>
      <w:szCs w:val="26"/>
    </w:rPr>
  </w:style>
  <w:style w:type="paragraph" w:styleId="737" w:customStyle="1">
    <w:name w:val="Heading 5"/>
    <w:basedOn w:val="723"/>
    <w:next w:val="723"/>
    <w:link w:val="738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/>
      <w:b/>
      <w:bCs/>
    </w:rPr>
  </w:style>
  <w:style w:type="character" w:styleId="738" w:customStyle="1">
    <w:name w:val="Heading 5 Char"/>
    <w:link w:val="737"/>
    <w:uiPriority w:val="9"/>
    <w:rPr>
      <w:rFonts w:ascii="Arial" w:hAnsi="Arial" w:eastAsia="Arial" w:cs="Arial"/>
      <w:b/>
      <w:bCs/>
      <w:sz w:val="24"/>
      <w:szCs w:val="24"/>
    </w:rPr>
  </w:style>
  <w:style w:type="paragraph" w:styleId="739" w:customStyle="1">
    <w:name w:val="Heading 6"/>
    <w:basedOn w:val="723"/>
    <w:next w:val="723"/>
    <w:link w:val="740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/>
      <w:b/>
      <w:bCs/>
      <w:sz w:val="22"/>
      <w:szCs w:val="22"/>
    </w:rPr>
  </w:style>
  <w:style w:type="character" w:styleId="740" w:customStyle="1">
    <w:name w:val="Heading 6 Char"/>
    <w:link w:val="739"/>
    <w:uiPriority w:val="9"/>
    <w:rPr>
      <w:rFonts w:ascii="Arial" w:hAnsi="Arial" w:eastAsia="Arial" w:cs="Arial"/>
      <w:b/>
      <w:bCs/>
      <w:sz w:val="22"/>
      <w:szCs w:val="22"/>
    </w:rPr>
  </w:style>
  <w:style w:type="paragraph" w:styleId="741" w:customStyle="1">
    <w:name w:val="Heading 7"/>
    <w:basedOn w:val="723"/>
    <w:next w:val="723"/>
    <w:link w:val="742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/>
      <w:b/>
      <w:bCs/>
      <w:i/>
      <w:iCs/>
      <w:sz w:val="22"/>
      <w:szCs w:val="22"/>
    </w:rPr>
  </w:style>
  <w:style w:type="character" w:styleId="742" w:customStyle="1">
    <w:name w:val="Heading 7 Char"/>
    <w:link w:val="741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743" w:customStyle="1">
    <w:name w:val="Heading 8"/>
    <w:basedOn w:val="723"/>
    <w:next w:val="723"/>
    <w:link w:val="744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/>
      <w:i/>
      <w:iCs/>
      <w:sz w:val="22"/>
      <w:szCs w:val="22"/>
    </w:rPr>
  </w:style>
  <w:style w:type="character" w:styleId="744" w:customStyle="1">
    <w:name w:val="Heading 8 Char"/>
    <w:link w:val="743"/>
    <w:uiPriority w:val="9"/>
    <w:rPr>
      <w:rFonts w:ascii="Arial" w:hAnsi="Arial" w:eastAsia="Arial" w:cs="Arial"/>
      <w:i/>
      <w:iCs/>
      <w:sz w:val="22"/>
      <w:szCs w:val="22"/>
    </w:rPr>
  </w:style>
  <w:style w:type="paragraph" w:styleId="745" w:customStyle="1">
    <w:name w:val="Heading 9"/>
    <w:basedOn w:val="723"/>
    <w:next w:val="723"/>
    <w:link w:val="746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/>
      <w:i/>
      <w:iCs/>
      <w:sz w:val="21"/>
      <w:szCs w:val="21"/>
    </w:rPr>
  </w:style>
  <w:style w:type="character" w:styleId="746" w:customStyle="1">
    <w:name w:val="Heading 9 Char"/>
    <w:link w:val="745"/>
    <w:uiPriority w:val="9"/>
    <w:rPr>
      <w:rFonts w:ascii="Arial" w:hAnsi="Arial" w:eastAsia="Arial" w:cs="Arial"/>
      <w:i/>
      <w:iCs/>
      <w:sz w:val="21"/>
      <w:szCs w:val="21"/>
    </w:rPr>
  </w:style>
  <w:style w:type="paragraph" w:styleId="747">
    <w:name w:val="List Paragraph"/>
    <w:basedOn w:val="723"/>
    <w:uiPriority w:val="34"/>
    <w:qFormat/>
    <w:pPr>
      <w:contextualSpacing/>
      <w:ind w:left="720"/>
    </w:pPr>
  </w:style>
  <w:style w:type="paragraph" w:styleId="748">
    <w:name w:val="No Spacing"/>
    <w:uiPriority w:val="1"/>
    <w:qFormat/>
    <w:rPr>
      <w:lang w:eastAsia="zh-CN"/>
    </w:rPr>
  </w:style>
  <w:style w:type="paragraph" w:styleId="749">
    <w:name w:val="Title"/>
    <w:basedOn w:val="723"/>
    <w:next w:val="723"/>
    <w:link w:val="750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50" w:customStyle="1">
    <w:name w:val="Название Знак"/>
    <w:link w:val="749"/>
    <w:uiPriority w:val="10"/>
    <w:rPr>
      <w:sz w:val="48"/>
      <w:szCs w:val="48"/>
    </w:rPr>
  </w:style>
  <w:style w:type="paragraph" w:styleId="751">
    <w:name w:val="Subtitle"/>
    <w:basedOn w:val="723"/>
    <w:next w:val="723"/>
    <w:link w:val="752"/>
    <w:uiPriority w:val="11"/>
    <w:qFormat/>
    <w:pPr>
      <w:spacing w:before="200" w:after="200"/>
    </w:pPr>
  </w:style>
  <w:style w:type="character" w:styleId="752" w:customStyle="1">
    <w:name w:val="Подзаголовок Знак"/>
    <w:link w:val="751"/>
    <w:uiPriority w:val="11"/>
    <w:rPr>
      <w:sz w:val="24"/>
      <w:szCs w:val="24"/>
    </w:rPr>
  </w:style>
  <w:style w:type="paragraph" w:styleId="753">
    <w:name w:val="Quote"/>
    <w:basedOn w:val="723"/>
    <w:next w:val="723"/>
    <w:link w:val="754"/>
    <w:uiPriority w:val="29"/>
    <w:qFormat/>
    <w:pPr>
      <w:ind w:left="720" w:right="720"/>
    </w:pPr>
    <w:rPr>
      <w:i/>
      <w:sz w:val="20"/>
      <w:szCs w:val="20"/>
    </w:rPr>
  </w:style>
  <w:style w:type="character" w:styleId="754" w:customStyle="1">
    <w:name w:val="Цитата 2 Знак"/>
    <w:link w:val="753"/>
    <w:uiPriority w:val="29"/>
    <w:rPr>
      <w:i/>
    </w:rPr>
  </w:style>
  <w:style w:type="paragraph" w:styleId="755">
    <w:name w:val="Intense Quote"/>
    <w:basedOn w:val="723"/>
    <w:next w:val="723"/>
    <w:link w:val="756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  <w:sz w:val="20"/>
      <w:szCs w:val="20"/>
    </w:rPr>
  </w:style>
  <w:style w:type="character" w:styleId="756" w:customStyle="1">
    <w:name w:val="Выделенная цитата Знак"/>
    <w:link w:val="755"/>
    <w:uiPriority w:val="30"/>
    <w:rPr>
      <w:i/>
    </w:rPr>
  </w:style>
  <w:style w:type="paragraph" w:styleId="757" w:customStyle="1">
    <w:name w:val="Header"/>
    <w:basedOn w:val="723"/>
    <w:link w:val="758"/>
    <w:uiPriority w:val="99"/>
    <w:unhideWhenUsed/>
    <w:pPr>
      <w:tabs>
        <w:tab w:val="center" w:pos="7143" w:leader="none"/>
        <w:tab w:val="right" w:pos="14287" w:leader="none"/>
      </w:tabs>
    </w:pPr>
  </w:style>
  <w:style w:type="character" w:styleId="758" w:customStyle="1">
    <w:name w:val="Header Char"/>
    <w:link w:val="757"/>
    <w:uiPriority w:val="99"/>
  </w:style>
  <w:style w:type="paragraph" w:styleId="759" w:customStyle="1">
    <w:name w:val="Footer"/>
    <w:basedOn w:val="723"/>
    <w:link w:val="762"/>
    <w:uiPriority w:val="99"/>
    <w:unhideWhenUsed/>
    <w:pPr>
      <w:tabs>
        <w:tab w:val="center" w:pos="7143" w:leader="none"/>
        <w:tab w:val="right" w:pos="14287" w:leader="none"/>
      </w:tabs>
    </w:pPr>
  </w:style>
  <w:style w:type="character" w:styleId="760" w:customStyle="1">
    <w:name w:val="Footer Char"/>
    <w:uiPriority w:val="99"/>
  </w:style>
  <w:style w:type="paragraph" w:styleId="761" w:customStyle="1">
    <w:name w:val="Caption"/>
    <w:basedOn w:val="723"/>
    <w:next w:val="723"/>
    <w:link w:val="762"/>
    <w:uiPriority w:val="99"/>
    <w:semiHidden/>
    <w:unhideWhenUsed/>
    <w:qFormat/>
    <w:pPr>
      <w:spacing w:line="276" w:lineRule="auto"/>
    </w:pPr>
    <w:rPr>
      <w:b/>
      <w:bCs/>
      <w:color w:val="4f81bd"/>
      <w:sz w:val="18"/>
      <w:szCs w:val="18"/>
    </w:rPr>
  </w:style>
  <w:style w:type="character" w:styleId="762" w:customStyle="1">
    <w:name w:val="Caption Char"/>
    <w:link w:val="761"/>
    <w:uiPriority w:val="99"/>
  </w:style>
  <w:style w:type="table" w:styleId="763">
    <w:name w:val="Table Grid"/>
    <w:basedOn w:val="727"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table" w:styleId="764" w:customStyle="1">
    <w:name w:val="Table Grid Light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5" w:customStyle="1">
    <w:name w:val="Plain Table 1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6" w:customStyle="1">
    <w:name w:val="Plain Table 2"/>
    <w:uiPriority w:val="59"/>
    <w:rPr>
      <w:lang w:eastAsia="zh-CN"/>
    </w:rPr>
    <w:tblPr>
      <w:tblInd w:w="0" w:type="dxa"/>
      <w:tblBorders>
        <w:top w:val="single" w:color="000000" w:sz="4" w:space="0"/>
        <w:left w:val="none" w:color="000000" w:sz="4" w:space="0"/>
        <w:bottom w:val="single" w:color="000000" w:sz="4" w:space="0"/>
        <w:right w:val="non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7" w:customStyle="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68" w:customStyle="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69" w:customStyle="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70" w:customStyle="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89898" w:sz="4" w:space="0"/>
        <w:left w:val="single" w:color="989898" w:sz="4" w:space="0"/>
        <w:bottom w:val="single" w:color="989898" w:sz="4" w:space="0"/>
        <w:right w:val="single" w:color="989898" w:sz="4" w:space="0"/>
        <w:insideH w:val="single" w:color="989898" w:sz="4" w:space="0"/>
        <w:insideV w:val="single" w:color="98989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1" w:customStyle="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2" w:customStyle="1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3" w:customStyle="1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4" w:customStyle="1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5" w:customStyle="1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6" w:customStyle="1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7" w:customStyle="1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8" w:customStyle="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9" w:customStyle="1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0" w:customStyle="1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1" w:customStyle="1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2" w:customStyle="1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3" w:customStyle="1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4" w:customStyle="1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5" w:customStyle="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6" w:customStyle="1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7" w:customStyle="1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8" w:customStyle="1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9" w:customStyle="1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0" w:customStyle="1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1" w:customStyle="1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left w:val="single" w:color="6F6F6F" w:sz="4" w:space="0"/>
        <w:bottom w:val="single" w:color="6F6F6F" w:sz="4" w:space="0"/>
        <w:right w:val="single" w:color="6F6F6F" w:sz="4" w:space="0"/>
        <w:insideH w:val="single" w:color="6F6F6F" w:sz="4" w:space="0"/>
        <w:insideV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2" w:customStyle="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  <w:insideV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3" w:customStyle="1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  <w:insideV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4" w:customStyle="1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  <w:insideV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5" w:customStyle="1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  <w:insideV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6" w:customStyle="1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7" w:customStyle="1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8" w:customStyle="1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bfbfbf" w:fill="bfbfbf"/>
      <w:tblCellMar>
        <w:left w:w="0" w:type="dxa"/>
        <w:top w:w="0" w:type="dxa"/>
        <w:right w:w="0" w:type="dxa"/>
        <w:bottom w:w="0" w:type="dxa"/>
      </w:tblCellMar>
    </w:tblPr>
  </w:style>
  <w:style w:type="table" w:styleId="799" w:customStyle="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5f1" w:fill="dae5f1"/>
      <w:tblCellMar>
        <w:left w:w="0" w:type="dxa"/>
        <w:top w:w="0" w:type="dxa"/>
        <w:right w:w="0" w:type="dxa"/>
        <w:bottom w:w="0" w:type="dxa"/>
      </w:tblCellMar>
    </w:tblPr>
  </w:style>
  <w:style w:type="table" w:styleId="800" w:customStyle="1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2dcdc" w:fill="f2dcdc"/>
      <w:tblCellMar>
        <w:left w:w="0" w:type="dxa"/>
        <w:top w:w="0" w:type="dxa"/>
        <w:right w:w="0" w:type="dxa"/>
        <w:bottom w:w="0" w:type="dxa"/>
      </w:tblCellMar>
    </w:tblPr>
  </w:style>
  <w:style w:type="table" w:styleId="801" w:customStyle="1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af1dc" w:fill="eaf1dc"/>
      <w:tblCellMar>
        <w:left w:w="0" w:type="dxa"/>
        <w:top w:w="0" w:type="dxa"/>
        <w:right w:w="0" w:type="dxa"/>
        <w:bottom w:w="0" w:type="dxa"/>
      </w:tblCellMar>
    </w:tblPr>
  </w:style>
  <w:style w:type="table" w:styleId="802" w:customStyle="1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5dfec" w:fill="e5dfec"/>
      <w:tblCellMar>
        <w:left w:w="0" w:type="dxa"/>
        <w:top w:w="0" w:type="dxa"/>
        <w:right w:w="0" w:type="dxa"/>
        <w:bottom w:w="0" w:type="dxa"/>
      </w:tblCellMar>
    </w:tblPr>
  </w:style>
  <w:style w:type="table" w:styleId="803" w:customStyle="1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ef3" w:fill="daeef3"/>
      <w:tblCellMar>
        <w:left w:w="0" w:type="dxa"/>
        <w:top w:w="0" w:type="dxa"/>
        <w:right w:w="0" w:type="dxa"/>
        <w:bottom w:w="0" w:type="dxa"/>
      </w:tblCellMar>
    </w:tblPr>
  </w:style>
  <w:style w:type="table" w:styleId="804" w:customStyle="1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de9d8" w:fill="fde9d8"/>
      <w:tblCellMar>
        <w:left w:w="0" w:type="dxa"/>
        <w:top w:w="0" w:type="dxa"/>
        <w:right w:w="0" w:type="dxa"/>
        <w:bottom w:w="0" w:type="dxa"/>
      </w:tblCellMar>
    </w:tblPr>
  </w:style>
  <w:style w:type="table" w:styleId="805" w:customStyle="1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left w:val="single" w:color="7F7F7F" w:sz="4" w:space="0"/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6" w:customStyle="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A6BFDD" w:sz="4" w:space="0"/>
        <w:left w:val="single" w:color="A6BFDD" w:sz="4" w:space="0"/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7" w:customStyle="1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8" w:customStyle="1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ABB59" w:sz="4" w:space="0"/>
        <w:left w:val="single" w:color="9ABB59" w:sz="4" w:space="0"/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9" w:customStyle="1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0" w:customStyle="1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BACC6" w:sz="4" w:space="0"/>
        <w:left w:val="single" w:color="4BACC6" w:sz="4" w:space="0"/>
        <w:bottom w:val="single" w:color="4BACC6" w:sz="4" w:space="0"/>
        <w:right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1" w:customStyle="1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79646" w:sz="4" w:space="0"/>
        <w:left w:val="single" w:color="F79646" w:sz="4" w:space="0"/>
        <w:bottom w:val="single" w:color="F79646" w:sz="4" w:space="0"/>
        <w:right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2" w:customStyle="1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3" w:customStyle="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4" w:customStyle="1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5" w:customStyle="1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6" w:customStyle="1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7" w:customStyle="1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8" w:customStyle="1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9" w:customStyle="1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0" w:customStyle="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1" w:customStyle="1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2" w:customStyle="1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3" w:customStyle="1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4" w:customStyle="1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5" w:customStyle="1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6" w:customStyle="1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bottom w:val="single" w:color="6F6F6F" w:sz="4" w:space="0"/>
        <w:insideH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7" w:customStyle="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bottom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8" w:customStyle="1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bottom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9" w:customStyle="1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bottom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0" w:customStyle="1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bottom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1" w:customStyle="1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bottom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2" w:customStyle="1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bottom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3" w:customStyle="1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4" w:customStyle="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left w:val="single" w:color="4F81BD" w:sz="4" w:space="0"/>
        <w:bottom w:val="single" w:color="4F81BD" w:sz="4" w:space="0"/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5" w:customStyle="1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6" w:customStyle="1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left w:val="single" w:color="C3D69B" w:sz="4" w:space="0"/>
        <w:bottom w:val="single" w:color="C3D69B" w:sz="4" w:space="0"/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7" w:customStyle="1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8" w:customStyle="1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left w:val="single" w:color="92CCDC" w:sz="4" w:space="0"/>
        <w:bottom w:val="single" w:color="92CCDC" w:sz="4" w:space="0"/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9" w:customStyle="1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left w:val="single" w:color="FAC090" w:sz="4" w:space="0"/>
        <w:bottom w:val="single" w:color="FAC090" w:sz="4" w:space="0"/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0" w:customStyle="1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1" w:customStyle="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2" w:customStyle="1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3" w:customStyle="1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4" w:customStyle="1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5" w:customStyle="1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6" w:customStyle="1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7" w:customStyle="1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32" w:space="0"/>
        <w:left w:val="single" w:color="7F7F7F" w:sz="32" w:space="0"/>
        <w:bottom w:val="single" w:color="7F7F7F" w:sz="32" w:space="0"/>
        <w:right w:val="single" w:color="7F7F7F" w:sz="32" w:space="0"/>
      </w:tblBorders>
      <w:shd w:val="clear" w:color="7f7f7f" w:fill="7f7f7f"/>
      <w:tblCellMar>
        <w:left w:w="0" w:type="dxa"/>
        <w:top w:w="0" w:type="dxa"/>
        <w:right w:w="0" w:type="dxa"/>
        <w:bottom w:w="0" w:type="dxa"/>
      </w:tblCellMar>
    </w:tblPr>
  </w:style>
  <w:style w:type="table" w:styleId="848" w:customStyle="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32" w:space="0"/>
        <w:left w:val="single" w:color="4F81BD" w:sz="32" w:space="0"/>
        <w:bottom w:val="single" w:color="4F81BD" w:sz="32" w:space="0"/>
        <w:right w:val="single" w:color="4F81BD" w:sz="32" w:space="0"/>
      </w:tblBorders>
      <w:shd w:val="clear" w:color="4f81bd" w:fill="4f81bd"/>
      <w:tblCellMar>
        <w:left w:w="0" w:type="dxa"/>
        <w:top w:w="0" w:type="dxa"/>
        <w:right w:w="0" w:type="dxa"/>
        <w:bottom w:w="0" w:type="dxa"/>
      </w:tblCellMar>
    </w:tblPr>
  </w:style>
  <w:style w:type="table" w:styleId="849" w:customStyle="1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32" w:space="0"/>
        <w:left w:val="single" w:color="D99695" w:sz="32" w:space="0"/>
        <w:bottom w:val="single" w:color="D99695" w:sz="32" w:space="0"/>
        <w:right w:val="single" w:color="D99695" w:sz="32" w:space="0"/>
      </w:tblBorders>
      <w:shd w:val="clear" w:color="d99695" w:fill="d99695"/>
      <w:tblCellMar>
        <w:left w:w="0" w:type="dxa"/>
        <w:top w:w="0" w:type="dxa"/>
        <w:right w:w="0" w:type="dxa"/>
        <w:bottom w:w="0" w:type="dxa"/>
      </w:tblCellMar>
    </w:tblPr>
  </w:style>
  <w:style w:type="table" w:styleId="850" w:customStyle="1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32" w:space="0"/>
        <w:left w:val="single" w:color="C3D69B" w:sz="32" w:space="0"/>
        <w:bottom w:val="single" w:color="C3D69B" w:sz="32" w:space="0"/>
        <w:right w:val="single" w:color="C3D69B" w:sz="32" w:space="0"/>
      </w:tblBorders>
      <w:shd w:val="clear" w:color="c3d69b" w:fill="c3d69b"/>
      <w:tblCellMar>
        <w:left w:w="0" w:type="dxa"/>
        <w:top w:w="0" w:type="dxa"/>
        <w:right w:w="0" w:type="dxa"/>
        <w:bottom w:w="0" w:type="dxa"/>
      </w:tblCellMar>
    </w:tblPr>
  </w:style>
  <w:style w:type="table" w:styleId="851" w:customStyle="1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32" w:space="0"/>
        <w:left w:val="single" w:color="B2A1C6" w:sz="32" w:space="0"/>
        <w:bottom w:val="single" w:color="B2A1C6" w:sz="32" w:space="0"/>
        <w:right w:val="single" w:color="B2A1C6" w:sz="32" w:space="0"/>
      </w:tblBorders>
      <w:shd w:val="clear" w:color="b2a1c6" w:fill="b2a1c6"/>
      <w:tblCellMar>
        <w:left w:w="0" w:type="dxa"/>
        <w:top w:w="0" w:type="dxa"/>
        <w:right w:w="0" w:type="dxa"/>
        <w:bottom w:w="0" w:type="dxa"/>
      </w:tblCellMar>
    </w:tblPr>
  </w:style>
  <w:style w:type="table" w:styleId="852" w:customStyle="1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32" w:space="0"/>
        <w:left w:val="single" w:color="92CCDC" w:sz="32" w:space="0"/>
        <w:bottom w:val="single" w:color="92CCDC" w:sz="32" w:space="0"/>
        <w:right w:val="single" w:color="92CCDC" w:sz="32" w:space="0"/>
      </w:tblBorders>
      <w:shd w:val="clear" w:color="92ccdc" w:fill="92ccdc"/>
      <w:tblCellMar>
        <w:left w:w="0" w:type="dxa"/>
        <w:top w:w="0" w:type="dxa"/>
        <w:right w:w="0" w:type="dxa"/>
        <w:bottom w:w="0" w:type="dxa"/>
      </w:tblCellMar>
    </w:tblPr>
  </w:style>
  <w:style w:type="table" w:styleId="853" w:customStyle="1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32" w:space="0"/>
        <w:left w:val="single" w:color="FAC090" w:sz="32" w:space="0"/>
        <w:bottom w:val="single" w:color="FAC090" w:sz="32" w:space="0"/>
        <w:right w:val="single" w:color="FAC090" w:sz="32" w:space="0"/>
      </w:tblBorders>
      <w:shd w:val="clear" w:color="fac090" w:fill="fac090"/>
      <w:tblCellMar>
        <w:left w:w="0" w:type="dxa"/>
        <w:top w:w="0" w:type="dxa"/>
        <w:right w:w="0" w:type="dxa"/>
        <w:bottom w:w="0" w:type="dxa"/>
      </w:tblCellMar>
    </w:tblPr>
  </w:style>
  <w:style w:type="table" w:styleId="854" w:customStyle="1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bottom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5" w:customStyle="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bottom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6" w:customStyle="1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bottom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7" w:customStyle="1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bottom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8" w:customStyle="1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bottom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9" w:customStyle="1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bottom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0" w:customStyle="1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bottom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1" w:customStyle="1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2" w:customStyle="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3" w:customStyle="1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4" w:customStyle="1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5" w:customStyle="1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6" w:customStyle="1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7" w:customStyle="1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8" w:customStyle="1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69" w:customStyle="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0" w:customStyle="1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1" w:customStyle="1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2" w:customStyle="1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3" w:customStyle="1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4" w:customStyle="1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5" w:customStyle="1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95959" w:sz="4" w:space="0"/>
        <w:left w:val="single" w:color="595959" w:sz="4" w:space="0"/>
        <w:bottom w:val="single" w:color="595959" w:sz="4" w:space="0"/>
        <w:right w:val="single" w:color="595959" w:sz="4" w:space="0"/>
        <w:insideH w:val="single" w:color="595959" w:sz="4" w:space="0"/>
        <w:insideV w:val="single" w:color="5959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6" w:customStyle="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A4A71" w:sz="4" w:space="0"/>
        <w:left w:val="single" w:color="2A4A71" w:sz="4" w:space="0"/>
        <w:bottom w:val="single" w:color="2A4A71" w:sz="4" w:space="0"/>
        <w:right w:val="single" w:color="2A4A71" w:sz="4" w:space="0"/>
        <w:insideH w:val="single" w:color="2A4A71" w:sz="4" w:space="0"/>
        <w:insideV w:val="single" w:color="2A4A7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7" w:customStyle="1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732A29" w:sz="4" w:space="0"/>
        <w:left w:val="single" w:color="732A29" w:sz="4" w:space="0"/>
        <w:bottom w:val="single" w:color="732A29" w:sz="4" w:space="0"/>
        <w:right w:val="single" w:color="732A29" w:sz="4" w:space="0"/>
        <w:insideH w:val="single" w:color="732A29" w:sz="4" w:space="0"/>
        <w:insideV w:val="single" w:color="732A2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8" w:customStyle="1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B722E" w:sz="4" w:space="0"/>
        <w:left w:val="single" w:color="5B722E" w:sz="4" w:space="0"/>
        <w:bottom w:val="single" w:color="5B722E" w:sz="4" w:space="0"/>
        <w:right w:val="single" w:color="5B722E" w:sz="4" w:space="0"/>
        <w:insideH w:val="single" w:color="5B722E" w:sz="4" w:space="0"/>
        <w:insideV w:val="single" w:color="5B722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9" w:customStyle="1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4A395F" w:sz="4" w:space="0"/>
        <w:left w:val="single" w:color="4A395F" w:sz="4" w:space="0"/>
        <w:bottom w:val="single" w:color="4A395F" w:sz="4" w:space="0"/>
        <w:right w:val="single" w:color="4A395F" w:sz="4" w:space="0"/>
        <w:insideH w:val="single" w:color="4A395F" w:sz="4" w:space="0"/>
        <w:insideV w:val="single" w:color="4A395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0" w:customStyle="1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66779" w:sz="4" w:space="0"/>
        <w:left w:val="single" w:color="266779" w:sz="4" w:space="0"/>
        <w:bottom w:val="single" w:color="266779" w:sz="4" w:space="0"/>
        <w:right w:val="single" w:color="266779" w:sz="4" w:space="0"/>
        <w:insideH w:val="single" w:color="266779" w:sz="4" w:space="0"/>
        <w:insideV w:val="single" w:color="26677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1" w:customStyle="1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B15407" w:sz="4" w:space="0"/>
        <w:left w:val="single" w:color="B15407" w:sz="4" w:space="0"/>
        <w:bottom w:val="single" w:color="B15407" w:sz="4" w:space="0"/>
        <w:right w:val="single" w:color="B15407" w:sz="4" w:space="0"/>
        <w:insideH w:val="single" w:color="B15407" w:sz="4" w:space="0"/>
        <w:insideV w:val="single" w:color="B15407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2" w:customStyle="1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D9D9" w:sz="4" w:space="0"/>
        <w:left w:val="single" w:color="D9D9D9" w:sz="4" w:space="0"/>
        <w:bottom w:val="single" w:color="D9D9D9" w:sz="4" w:space="0"/>
        <w:right w:val="single" w:color="D9D9D9" w:sz="4" w:space="0"/>
        <w:insideH w:val="single" w:color="D9D9D9" w:sz="4" w:space="0"/>
        <w:insideV w:val="single" w:color="D9D9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3" w:customStyle="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4" w:customStyle="1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5" w:customStyle="1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6" w:customStyle="1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7" w:customStyle="1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8" w:customStyle="1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character" w:styleId="889">
    <w:name w:val="Hyperlink"/>
    <w:uiPriority w:val="99"/>
    <w:rPr>
      <w:color w:val="0000ff"/>
      <w:u w:val="single"/>
    </w:rPr>
  </w:style>
  <w:style w:type="paragraph" w:styleId="890">
    <w:name w:val="footnote text"/>
    <w:basedOn w:val="723"/>
    <w:link w:val="891"/>
    <w:uiPriority w:val="99"/>
    <w:semiHidden/>
    <w:unhideWhenUsed/>
    <w:pPr>
      <w:spacing w:after="40"/>
    </w:pPr>
    <w:rPr>
      <w:sz w:val="18"/>
      <w:szCs w:val="20"/>
    </w:rPr>
  </w:style>
  <w:style w:type="character" w:styleId="891" w:customStyle="1">
    <w:name w:val="Текст сноски Знак"/>
    <w:link w:val="890"/>
    <w:uiPriority w:val="99"/>
    <w:rPr>
      <w:sz w:val="18"/>
    </w:rPr>
  </w:style>
  <w:style w:type="character" w:styleId="892">
    <w:name w:val="footnote reference"/>
    <w:uiPriority w:val="99"/>
    <w:unhideWhenUsed/>
    <w:rPr>
      <w:vertAlign w:val="superscript"/>
    </w:rPr>
  </w:style>
  <w:style w:type="paragraph" w:styleId="893">
    <w:name w:val="endnote text"/>
    <w:basedOn w:val="723"/>
    <w:link w:val="894"/>
    <w:uiPriority w:val="99"/>
    <w:semiHidden/>
    <w:unhideWhenUsed/>
    <w:rPr>
      <w:sz w:val="20"/>
      <w:szCs w:val="20"/>
    </w:rPr>
  </w:style>
  <w:style w:type="character" w:styleId="894" w:customStyle="1">
    <w:name w:val="Текст концевой сноски Знак"/>
    <w:link w:val="893"/>
    <w:uiPriority w:val="99"/>
    <w:rPr>
      <w:sz w:val="20"/>
    </w:rPr>
  </w:style>
  <w:style w:type="character" w:styleId="895">
    <w:name w:val="endnote reference"/>
    <w:uiPriority w:val="99"/>
    <w:semiHidden/>
    <w:unhideWhenUsed/>
    <w:rPr>
      <w:vertAlign w:val="superscript"/>
    </w:rPr>
  </w:style>
  <w:style w:type="paragraph" w:styleId="896">
    <w:name w:val="toc 1"/>
    <w:basedOn w:val="723"/>
    <w:next w:val="723"/>
    <w:uiPriority w:val="39"/>
    <w:unhideWhenUsed/>
    <w:pPr>
      <w:spacing w:after="57"/>
    </w:pPr>
  </w:style>
  <w:style w:type="paragraph" w:styleId="897">
    <w:name w:val="toc 2"/>
    <w:basedOn w:val="723"/>
    <w:next w:val="723"/>
    <w:uiPriority w:val="39"/>
    <w:unhideWhenUsed/>
    <w:pPr>
      <w:ind w:left="283"/>
      <w:spacing w:after="57"/>
    </w:pPr>
  </w:style>
  <w:style w:type="paragraph" w:styleId="898">
    <w:name w:val="toc 3"/>
    <w:basedOn w:val="723"/>
    <w:next w:val="723"/>
    <w:uiPriority w:val="39"/>
    <w:unhideWhenUsed/>
    <w:pPr>
      <w:ind w:left="567"/>
      <w:spacing w:after="57"/>
    </w:pPr>
  </w:style>
  <w:style w:type="paragraph" w:styleId="899">
    <w:name w:val="toc 4"/>
    <w:basedOn w:val="723"/>
    <w:next w:val="723"/>
    <w:uiPriority w:val="39"/>
    <w:unhideWhenUsed/>
    <w:pPr>
      <w:ind w:left="850"/>
      <w:spacing w:after="57"/>
    </w:pPr>
  </w:style>
  <w:style w:type="paragraph" w:styleId="900">
    <w:name w:val="toc 5"/>
    <w:basedOn w:val="723"/>
    <w:next w:val="723"/>
    <w:uiPriority w:val="39"/>
    <w:unhideWhenUsed/>
    <w:pPr>
      <w:ind w:left="1134"/>
      <w:spacing w:after="57"/>
    </w:pPr>
  </w:style>
  <w:style w:type="paragraph" w:styleId="901">
    <w:name w:val="toc 6"/>
    <w:basedOn w:val="723"/>
    <w:next w:val="723"/>
    <w:uiPriority w:val="39"/>
    <w:unhideWhenUsed/>
    <w:pPr>
      <w:ind w:left="1417"/>
      <w:spacing w:after="57"/>
    </w:pPr>
  </w:style>
  <w:style w:type="paragraph" w:styleId="902">
    <w:name w:val="toc 7"/>
    <w:basedOn w:val="723"/>
    <w:next w:val="723"/>
    <w:uiPriority w:val="39"/>
    <w:unhideWhenUsed/>
    <w:pPr>
      <w:ind w:left="1701"/>
      <w:spacing w:after="57"/>
    </w:pPr>
  </w:style>
  <w:style w:type="paragraph" w:styleId="903">
    <w:name w:val="toc 8"/>
    <w:basedOn w:val="723"/>
    <w:next w:val="723"/>
    <w:uiPriority w:val="39"/>
    <w:unhideWhenUsed/>
    <w:pPr>
      <w:ind w:left="1984"/>
      <w:spacing w:after="57"/>
    </w:pPr>
  </w:style>
  <w:style w:type="paragraph" w:styleId="904">
    <w:name w:val="toc 9"/>
    <w:basedOn w:val="723"/>
    <w:next w:val="723"/>
    <w:uiPriority w:val="39"/>
    <w:unhideWhenUsed/>
    <w:pPr>
      <w:ind w:left="2268"/>
      <w:spacing w:after="57"/>
    </w:pPr>
  </w:style>
  <w:style w:type="paragraph" w:styleId="905">
    <w:name w:val="TOC Heading"/>
    <w:uiPriority w:val="39"/>
    <w:unhideWhenUsed/>
    <w:rPr>
      <w:lang w:eastAsia="zh-CN"/>
    </w:rPr>
  </w:style>
  <w:style w:type="paragraph" w:styleId="906">
    <w:name w:val="table of figures"/>
    <w:basedOn w:val="723"/>
    <w:next w:val="723"/>
    <w:uiPriority w:val="99"/>
    <w:unhideWhenUsed/>
  </w:style>
  <w:style w:type="paragraph" w:styleId="907">
    <w:name w:val="Body Text"/>
    <w:basedOn w:val="723"/>
    <w:link w:val="920"/>
    <w:rPr>
      <w:sz w:val="28"/>
      <w:szCs w:val="20"/>
    </w:rPr>
  </w:style>
  <w:style w:type="paragraph" w:styleId="908" w:customStyle="1">
    <w:name w:val="ConsNormal"/>
    <w:pPr>
      <w:ind w:firstLine="720"/>
      <w:widowControl w:val="off"/>
    </w:pPr>
    <w:rPr>
      <w:rFonts w:ascii="Arial" w:hAnsi="Arial"/>
      <w:sz w:val="16"/>
    </w:rPr>
  </w:style>
  <w:style w:type="paragraph" w:styleId="909">
    <w:name w:val="Header"/>
    <w:basedOn w:val="723"/>
    <w:pPr>
      <w:tabs>
        <w:tab w:val="center" w:pos="4677" w:leader="none"/>
        <w:tab w:val="right" w:pos="9355" w:leader="none"/>
      </w:tabs>
    </w:pPr>
  </w:style>
  <w:style w:type="paragraph" w:styleId="910">
    <w:name w:val="Footer"/>
    <w:basedOn w:val="723"/>
    <w:link w:val="918"/>
    <w:pPr>
      <w:tabs>
        <w:tab w:val="center" w:pos="4677" w:leader="none"/>
        <w:tab w:val="right" w:pos="9355" w:leader="none"/>
      </w:tabs>
    </w:pPr>
  </w:style>
  <w:style w:type="character" w:styleId="911">
    <w:name w:val="page number"/>
    <w:basedOn w:val="726"/>
  </w:style>
  <w:style w:type="paragraph" w:styleId="912">
    <w:name w:val="Body Text Indent 2"/>
    <w:basedOn w:val="723"/>
    <w:link w:val="915"/>
    <w:pPr>
      <w:ind w:left="283"/>
      <w:spacing w:after="120" w:line="480" w:lineRule="auto"/>
    </w:pPr>
  </w:style>
  <w:style w:type="paragraph" w:styleId="913">
    <w:name w:val="Balloon Text"/>
    <w:basedOn w:val="723"/>
    <w:link w:val="914"/>
    <w:rPr>
      <w:rFonts w:ascii="Tahoma" w:hAnsi="Tahoma"/>
      <w:sz w:val="16"/>
      <w:szCs w:val="16"/>
    </w:rPr>
  </w:style>
  <w:style w:type="character" w:styleId="914" w:customStyle="1">
    <w:name w:val="Текст выноски Знак"/>
    <w:link w:val="913"/>
    <w:rPr>
      <w:rFonts w:ascii="Tahoma" w:hAnsi="Tahoma" w:cs="Tahoma"/>
      <w:sz w:val="16"/>
      <w:szCs w:val="16"/>
    </w:rPr>
  </w:style>
  <w:style w:type="character" w:styleId="915" w:customStyle="1">
    <w:name w:val="Основной текст с отступом 2 Знак"/>
    <w:link w:val="912"/>
    <w:rPr>
      <w:sz w:val="24"/>
      <w:szCs w:val="24"/>
    </w:rPr>
  </w:style>
  <w:style w:type="character" w:styleId="916" w:customStyle="1">
    <w:name w:val="Заголовок 1 Знак"/>
    <w:link w:val="724"/>
    <w:rPr>
      <w:b/>
      <w:sz w:val="28"/>
    </w:rPr>
  </w:style>
  <w:style w:type="character" w:styleId="917" w:customStyle="1">
    <w:name w:val="Заголовок 2 Знак"/>
    <w:link w:val="725"/>
    <w:rPr>
      <w:b/>
      <w:sz w:val="24"/>
      <w:szCs w:val="24"/>
    </w:rPr>
  </w:style>
  <w:style w:type="character" w:styleId="918" w:customStyle="1">
    <w:name w:val="Нижний колонтитул Знак"/>
    <w:link w:val="910"/>
    <w:rPr>
      <w:sz w:val="24"/>
      <w:szCs w:val="24"/>
    </w:rPr>
  </w:style>
  <w:style w:type="paragraph" w:styleId="919" w:customStyle="1">
    <w:name w:val="Таблицы (моноширинный)"/>
    <w:basedOn w:val="723"/>
    <w:next w:val="723"/>
    <w:pPr>
      <w:jc w:val="both"/>
    </w:pPr>
    <w:rPr>
      <w:rFonts w:ascii="Courier New" w:hAnsi="Courier New" w:cs="Courier New"/>
      <w:sz w:val="20"/>
      <w:szCs w:val="20"/>
    </w:rPr>
  </w:style>
  <w:style w:type="character" w:styleId="920" w:customStyle="1">
    <w:name w:val="Основной текст Знак"/>
    <w:link w:val="907"/>
    <w:rPr>
      <w:sz w:val="28"/>
    </w:rPr>
  </w:style>
  <w:style w:type="paragraph" w:styleId="921" w:customStyle="1">
    <w:name w:val="ConsPlusNormal"/>
    <w:pPr>
      <w:widowControl w:val="off"/>
    </w:pPr>
    <w:rPr>
      <w:rFonts w:ascii="Arial" w:hAnsi="Arial" w:cs="Arial"/>
    </w:rPr>
  </w:style>
  <w:style w:type="paragraph" w:styleId="922" w:customStyle="1">
    <w:name w:val="u"/>
    <w:basedOn w:val="723"/>
    <w:pPr>
      <w:spacing w:before="100" w:beforeAutospacing="1" w:after="100" w:afterAutospacing="1"/>
    </w:pPr>
  </w:style>
  <w:style w:type="paragraph" w:styleId="923">
    <w:name w:val="Plain Text"/>
    <w:basedOn w:val="723"/>
    <w:link w:val="924"/>
    <w:unhideWhenUsed/>
    <w:rPr>
      <w:rFonts w:ascii="Courier New" w:hAnsi="Courier New"/>
      <w:sz w:val="20"/>
      <w:szCs w:val="20"/>
    </w:rPr>
  </w:style>
  <w:style w:type="character" w:styleId="924" w:customStyle="1">
    <w:name w:val="Текст Знак"/>
    <w:link w:val="923"/>
    <w:rPr>
      <w:rFonts w:ascii="Courier New" w:hAnsi="Courier New" w:cs="Courier New"/>
    </w:rPr>
  </w:style>
  <w:style w:type="paragraph" w:styleId="925" w:customStyle="1">
    <w:name w:val="Основной текст1"/>
    <w:uiPriority w:val="1"/>
    <w:qFormat/>
    <w:pPr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  <w:rPr>
      <w:sz w:val="27"/>
      <w:szCs w:val="27"/>
      <w:lang w:eastAsia="en-US"/>
    </w:rPr>
  </w:style>
  <w:style w:type="paragraph" w:styleId="926" w:customStyle="1">
    <w:name w:val="docdata;docy;v5;2145;bqiaagaaeyqcaaagiaiaaaowbqaabb4faaaaaaaaaaaaaaaaaaaaaaaaaaaaaaaaaaaaaaaaaaaaaaaaaaaaaaaaaaaaaaaaaaaaaaaaaaaaaaaaaaaaaaaaaaaaaaaaaaaaaaaaaaaaaaaaaaaaaaaaaaaaaaaaaaaaaaaaaaaaaaaaaaaaaaaaaaaaaaaaaaaaaaaaaaaaaaaaaaaaaaaaaaaaaaaaaaaaaaaa"/>
    <w:pPr>
      <w:spacing w:before="100" w:beforeAutospacing="1" w:after="100" w:afterAutospacing="1"/>
      <w:shd w:val="nil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  <w:rPr>
      <w:sz w:val="24"/>
      <w:szCs w:val="24"/>
    </w:rPr>
  </w:style>
  <w:style w:type="character" w:styleId="927">
    <w:name w:val="annotation reference"/>
    <w:basedOn w:val="726"/>
    <w:uiPriority w:val="99"/>
    <w:semiHidden/>
    <w:unhideWhenUsed/>
    <w:rPr>
      <w:sz w:val="16"/>
      <w:szCs w:val="16"/>
    </w:rPr>
  </w:style>
  <w:style w:type="paragraph" w:styleId="928">
    <w:name w:val="annotation text"/>
    <w:basedOn w:val="723"/>
    <w:link w:val="929"/>
    <w:uiPriority w:val="99"/>
    <w:semiHidden/>
    <w:unhideWhenUsed/>
    <w:rPr>
      <w:sz w:val="20"/>
      <w:szCs w:val="20"/>
    </w:rPr>
  </w:style>
  <w:style w:type="character" w:styleId="929" w:customStyle="1">
    <w:name w:val="Текст примечания Знак"/>
    <w:basedOn w:val="726"/>
    <w:link w:val="928"/>
    <w:uiPriority w:val="99"/>
    <w:semiHidden/>
  </w:style>
  <w:style w:type="paragraph" w:styleId="930">
    <w:name w:val="annotation subject"/>
    <w:basedOn w:val="928"/>
    <w:next w:val="928"/>
    <w:link w:val="931"/>
    <w:uiPriority w:val="99"/>
    <w:semiHidden/>
    <w:unhideWhenUsed/>
    <w:rPr>
      <w:b/>
      <w:bCs/>
    </w:rPr>
  </w:style>
  <w:style w:type="character" w:styleId="931" w:customStyle="1">
    <w:name w:val="Тема примечания Знак"/>
    <w:basedOn w:val="929"/>
    <w:link w:val="930"/>
    <w:uiPriority w:val="99"/>
    <w:semiHidden/>
    <w:rPr>
      <w:b/>
      <w:bCs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footer" Target="footer1.xml" /><Relationship Id="rId13" Type="http://schemas.openxmlformats.org/officeDocument/2006/relationships/footer" Target="footer2.xml" /><Relationship Id="rId14" Type="http://schemas.openxmlformats.org/officeDocument/2006/relationships/image" Target="media/image1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ДИЗО НСО</Company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распоряжения</dc:title>
  <dc:creator>ata</dc:creator>
  <cp:lastModifiedBy>snb@NSO.LOC</cp:lastModifiedBy>
  <cp:revision>31</cp:revision>
  <dcterms:created xsi:type="dcterms:W3CDTF">2024-04-08T09:47:00Z</dcterms:created>
  <dcterms:modified xsi:type="dcterms:W3CDTF">2026-04-03T04:35:36Z</dcterms:modified>
  <cp:version>1048576</cp:version>
</cp:coreProperties>
</file>